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9.jpeg" ContentType="image/jpeg"/>
  <Override PartName="/word/media/image8.jpeg" ContentType="image/jpeg"/>
  <Override PartName="/word/media/image7.jpeg" ContentType="image/jpeg"/>
  <Override PartName="/word/media/image5.jpeg" ContentType="image/jpeg"/>
  <Override PartName="/word/media/image1.jpeg" ContentType="image/jpeg"/>
  <Override PartName="/word/media/image3.png" ContentType="image/png"/>
  <Override PartName="/word/media/image2.png" ContentType="image/png"/>
  <Override PartName="/word/media/image6.jpeg" ContentType="image/jpeg"/>
  <Override PartName="/word/media/image4.png" ContentType="image/png"/>
  <Override PartName="/word/document.xml" ContentType="application/vnd.openxmlformats-officedocument.wordprocessingml.document.main+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36"/>
          <w:szCs w:val="36"/>
        </w:rPr>
      </w:pPr>
      <w:r>
        <mc:AlternateContent>
          <mc:Choice Requires="wps">
            <w:drawing>
              <wp:anchor behindDoc="0" distT="0" distB="0" distL="114300" distR="114300" simplePos="0" locked="0" layoutInCell="1" allowOverlap="1" relativeHeight="2" wp14:anchorId="0A7B50D0">
                <wp:simplePos x="0" y="0"/>
                <wp:positionH relativeFrom="column">
                  <wp:posOffset>-721360</wp:posOffset>
                </wp:positionH>
                <wp:positionV relativeFrom="paragraph">
                  <wp:posOffset>727075</wp:posOffset>
                </wp:positionV>
                <wp:extent cx="3319780" cy="1865630"/>
                <wp:effectExtent l="3175" t="0" r="0" b="0"/>
                <wp:wrapSquare wrapText="bothSides"/>
                <wp:docPr id="1" name="Picture 3"/>
                <a:graphic xmlns:a="http://schemas.openxmlformats.org/drawingml/2006/main">
                  <a:graphicData uri="http://schemas.openxmlformats.org/drawingml/2006/picture">
                    <pic:pic xmlns:pic="http://schemas.openxmlformats.org/drawingml/2006/picture">
                      <pic:nvPicPr>
                        <pic:cNvPr id="0" name="Picture 3" descr=""/>
                        <pic:cNvPicPr/>
                      </pic:nvPicPr>
                      <pic:blipFill>
                        <a:blip r:embed="rId2"/>
                        <a:stretch/>
                      </pic:blipFill>
                      <pic:spPr>
                        <a:xfrm rot="5400000">
                          <a:off x="0" y="0"/>
                          <a:ext cx="3319200" cy="1865160"/>
                        </a:xfrm>
                        <a:prstGeom prst="rect">
                          <a:avLst/>
                        </a:prstGeom>
                        <a:ln>
                          <a:noFill/>
                        </a:ln>
                      </pic:spPr>
                    </pic:pic>
                  </a:graphicData>
                </a:graphic>
              </wp:anchor>
            </w:drawing>
          </mc:Choice>
          <mc:Fallback>
            <w:pict>
              <v:rect id="shape_0" ID="Picture 3" stroked="f" style="position:absolute;margin-left:-56.8pt;margin-top:57.25pt;width:261.3pt;height:146.8pt;rotation:90" wp14:anchorId="0A7B50D0">
                <v:imagedata r:id="rId3" o:detectmouseclick="t"/>
                <w10:wrap type="none"/>
                <v:stroke color="#3465a4" joinstyle="round" endcap="flat"/>
              </v:rect>
            </w:pict>
          </mc:Fallback>
        </mc:AlternateContent>
      </w:r>
      <w:r>
        <w:rPr>
          <w:sz w:val="72"/>
          <w:szCs w:val="72"/>
        </w:rPr>
        <w:t>Colin’s Blog</w:t>
      </w:r>
    </w:p>
    <w:p>
      <w:pPr>
        <w:pStyle w:val="Normal"/>
        <w:jc w:val="center"/>
        <w:rPr>
          <w:sz w:val="36"/>
          <w:szCs w:val="36"/>
        </w:rPr>
      </w:pPr>
      <w:r>
        <w:rPr>
          <w:sz w:val="36"/>
          <w:szCs w:val="36"/>
        </w:rPr>
        <w:t>Friday 8</w:t>
      </w:r>
      <w:r>
        <w:rPr>
          <w:sz w:val="36"/>
          <w:szCs w:val="36"/>
          <w:vertAlign w:val="superscript"/>
        </w:rPr>
        <w:t>th</w:t>
      </w:r>
      <w:r>
        <w:rPr>
          <w:sz w:val="36"/>
          <w:szCs w:val="36"/>
        </w:rPr>
        <w:t xml:space="preserve"> February 2019</w:t>
      </w:r>
    </w:p>
    <w:p>
      <w:pPr>
        <w:pStyle w:val="Normal"/>
        <w:rPr>
          <w:szCs w:val="28"/>
        </w:rPr>
      </w:pPr>
      <w:r>
        <w:rPr>
          <w:szCs w:val="28"/>
        </w:rPr>
        <w:t>An appropriate look of bewilderment, as one tries to make sense of everything that is going on in our world.</w:t>
      </w:r>
    </w:p>
    <w:p>
      <w:pPr>
        <w:pStyle w:val="Normal"/>
        <w:rPr>
          <w:szCs w:val="28"/>
        </w:rPr>
      </w:pPr>
      <w:r>
        <w:rPr>
          <w:szCs w:val="28"/>
        </w:rPr>
        <w:t xml:space="preserve">The conflicts, the tragedies, injustices, and nonsense, which we all read or hear in the media, which, if taken literally, mean that we are living in troubled times. </w:t>
      </w:r>
    </w:p>
    <w:p>
      <w:pPr>
        <w:pStyle w:val="Normal"/>
        <w:rPr>
          <w:szCs w:val="28"/>
        </w:rPr>
      </w:pPr>
      <w:r>
        <w:rPr>
          <w:szCs w:val="28"/>
        </w:rPr>
        <w:t>The B word still dominates our National news, and, is regularly overshadowed by news about drugs and county lines, as well as the involvement of around ten thousand children and young people, snared into becoming involved in the unlawful practise of drug running, dealing and drug fuelled crime.  It’s, a sorry state of affairs, which brings so much sadness to the families of those involved, and, escalates the opportunities for drug pushing and addiction.   Knife crime which often results from such actions.</w:t>
      </w:r>
    </w:p>
    <w:p>
      <w:pPr>
        <w:pStyle w:val="Normal"/>
        <w:rPr>
          <w:szCs w:val="28"/>
        </w:rPr>
      </w:pPr>
      <w:r>
        <w:rPr>
          <w:szCs w:val="28"/>
        </w:rPr>
        <w:t>Cyber crime which blights the lives of so many people, especially our elderly and vulnerable members of our local communities.</w:t>
      </w:r>
    </w:p>
    <w:p>
      <w:pPr>
        <w:pStyle w:val="Normal"/>
        <w:rPr>
          <w:szCs w:val="28"/>
        </w:rPr>
      </w:pPr>
      <w:r>
        <w:rPr>
          <w:szCs w:val="28"/>
        </w:rPr>
        <w:t xml:space="preserve">Environmental crimes, that affect us all, and blight our countryside and urban areas.  So much is down to greed and a general lack of respect, going back to the breakdown of moral behaviour, and often driven by poverty and fuelled by criminal behaviour. </w:t>
      </w:r>
    </w:p>
    <w:p>
      <w:pPr>
        <w:pStyle w:val="Normal"/>
        <w:rPr>
          <w:szCs w:val="28"/>
        </w:rPr>
      </w:pPr>
      <w:r>
        <w:rPr>
          <w:szCs w:val="28"/>
        </w:rPr>
        <w:t>Despite, the fact that I was born in the East End of London, I find so much of what is happening around us, totally alien to my way of life, and indeed, the way that I was brought up by my parents.</w:t>
      </w:r>
    </w:p>
    <w:p>
      <w:pPr>
        <w:pStyle w:val="Normal"/>
        <w:rPr>
          <w:szCs w:val="28"/>
        </w:rPr>
      </w:pPr>
      <w:r>
        <w:rPr>
          <w:szCs w:val="28"/>
        </w:rPr>
        <w:t>I am sure, that so much of today’s problems stem from the accessibility of social media, which is used and trawled by who I term as the younger generation.   Instagram has been in the news recently over the suicide of a young girl who got ideas and information which led to her taking her own life.  Other internet sites also contain such matter, and, sites like Facebook, can be platforms used to engage in bullying, as does the use of messaging and social apps on smartphones.  You Tube also carries lots of what I term as dangerous channels of information.</w:t>
      </w:r>
    </w:p>
    <w:p>
      <w:pPr>
        <w:pStyle w:val="Normal"/>
        <w:rPr>
          <w:szCs w:val="28"/>
        </w:rPr>
      </w:pPr>
      <w:r>
        <w:rPr>
          <w:szCs w:val="28"/>
        </w:rPr>
        <w:t>In an effort to reduce risks, or control all the sites, our government are preparing to legislate to ensure that such material is taken off the web by those responsible for the sites.   I reckon that they will have as great deal of difficulty in doing so.</w:t>
      </w:r>
    </w:p>
    <w:p>
      <w:pPr>
        <w:pStyle w:val="Normal"/>
        <w:rPr>
          <w:szCs w:val="28"/>
        </w:rPr>
      </w:pPr>
      <w:r>
        <w:rPr>
          <w:szCs w:val="28"/>
        </w:rPr>
        <w:t>Last week, I wrote about the importance of special schools, and I received a very good response from my remarks.   One of my readers wrote to me about the benefit that their son has received from going to a special school at an early age.   I wanted to reply to the email, but, sadly, it seems to have disappeared from my mailbox, so, if you are reading this, please get back in touch!</w:t>
      </w:r>
    </w:p>
    <w:p>
      <w:pPr>
        <w:pStyle w:val="Normal"/>
        <w:rPr>
          <w:b/>
          <w:b/>
          <w:szCs w:val="28"/>
        </w:rPr>
      </w:pPr>
      <w:r>
        <w:rPr/>
        <w:drawing>
          <wp:inline distT="0" distB="5715" distL="0" distR="6350">
            <wp:extent cx="3346450" cy="104267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4"/>
                    <a:stretch>
                      <a:fillRect/>
                    </a:stretch>
                  </pic:blipFill>
                  <pic:spPr bwMode="auto">
                    <a:xfrm>
                      <a:off x="0" y="0"/>
                      <a:ext cx="3346450" cy="1042670"/>
                    </a:xfrm>
                    <a:prstGeom prst="rect">
                      <a:avLst/>
                    </a:prstGeom>
                  </pic:spPr>
                </pic:pic>
              </a:graphicData>
            </a:graphic>
          </wp:inline>
        </w:drawing>
      </w:r>
      <w:r>
        <w:rPr>
          <w:szCs w:val="28"/>
        </w:rPr>
        <w:t xml:space="preserve"> </w:t>
      </w:r>
      <w:r>
        <w:rPr>
          <w:b/>
          <w:szCs w:val="28"/>
        </w:rPr>
        <w:t>(Calls cost 35p per minute)</w:t>
      </w:r>
    </w:p>
    <w:p>
      <w:pPr>
        <w:pStyle w:val="Normal"/>
        <w:numPr>
          <w:ilvl w:val="0"/>
          <w:numId w:val="0"/>
        </w:numPr>
        <w:spacing w:lineRule="auto" w:line="240" w:beforeAutospacing="1" w:afterAutospacing="1"/>
        <w:outlineLvl w:val="0"/>
        <w:rPr>
          <w:rFonts w:eastAsia="Times New Roman" w:cs="Arial"/>
          <w:b/>
          <w:b/>
          <w:bCs/>
          <w:sz w:val="48"/>
          <w:szCs w:val="48"/>
          <w:lang w:eastAsia="en-GB"/>
        </w:rPr>
      </w:pPr>
      <w:r>
        <w:rPr>
          <w:rFonts w:eastAsia="Times New Roman" w:cs="Arial"/>
          <w:b/>
          <w:bCs/>
          <w:sz w:val="48"/>
          <w:szCs w:val="48"/>
          <w:lang w:eastAsia="en-GB"/>
        </w:rPr>
        <w:t>‘</w:t>
      </w:r>
      <w:r>
        <w:rPr>
          <w:rFonts w:eastAsia="Times New Roman" w:cs="Arial"/>
          <w:b/>
          <w:bCs/>
          <w:sz w:val="48"/>
          <w:szCs w:val="48"/>
          <w:lang w:eastAsia="en-GB"/>
        </w:rPr>
        <w:t xml:space="preserve">Inside The Mind Of A Scammer’ The Tactics Investment Fraudsters Use To Deceive Over 55’s’ </w:t>
      </w:r>
      <w:r>
        <w:rPr>
          <w:rFonts w:eastAsia="Times New Roman" w:cs="Arial"/>
          <w:bCs/>
          <w:sz w:val="36"/>
          <w:szCs w:val="36"/>
          <w:lang w:eastAsia="en-GB"/>
        </w:rPr>
        <w:t>Posted 7.2.2019</w:t>
      </w:r>
    </w:p>
    <w:p>
      <w:pPr>
        <w:pStyle w:val="Normal"/>
        <w:spacing w:lineRule="auto" w:line="240" w:beforeAutospacing="1" w:afterAutospacing="1"/>
        <w:rPr>
          <w:rFonts w:eastAsia="Times New Roman" w:cs="Arial"/>
          <w:b/>
          <w:b/>
          <w:bCs/>
          <w:szCs w:val="28"/>
          <w:lang w:eastAsia="en-GB"/>
        </w:rPr>
      </w:pPr>
      <w:r>
        <w:rPr>
          <w:rFonts w:eastAsia="Times New Roman" w:cs="Arial"/>
          <w:b/>
          <w:bCs/>
          <w:szCs w:val="28"/>
          <w:lang w:eastAsia="en-GB"/>
        </w:rPr>
        <w:t xml:space="preserve">The Financial Conduct Authority (FCA) is urging over </w:t>
      </w:r>
      <w:bookmarkStart w:id="0" w:name="_GoBack"/>
      <w:bookmarkEnd w:id="0"/>
      <w:r>
        <w:rPr>
          <w:rFonts w:eastAsia="Times New Roman" w:cs="Arial"/>
          <w:b/>
          <w:bCs/>
          <w:szCs w:val="28"/>
          <w:lang w:eastAsia="en-GB"/>
        </w:rPr>
        <w:t>55s to check investment opportunities are genuine before they part with their money. This comes as new research, commissioned as part of the FCA’s ScamSmart campaign, reveals that only two in five (42%) think they know how to spot a fraudulent investment opportunity. Fraudsters are targeting the growing over 55 population because they are more likely to have money to invest.</w:t>
      </w:r>
    </w:p>
    <w:p>
      <w:pPr>
        <w:pStyle w:val="Normal"/>
        <w:spacing w:lineRule="auto" w:line="240" w:beforeAutospacing="1" w:afterAutospacing="1"/>
        <w:rPr>
          <w:rFonts w:eastAsia="Times New Roman" w:cs="Arial"/>
          <w:szCs w:val="28"/>
          <w:lang w:eastAsia="en-GB"/>
        </w:rPr>
      </w:pPr>
      <w:r>
        <w:rPr>
          <w:rFonts w:eastAsia="Times New Roman" w:cs="Arial"/>
          <w:szCs w:val="28"/>
          <w:lang w:eastAsia="en-GB"/>
        </w:rPr>
        <w:t>Only two in five think they know how to spot an investment scam</w:t>
      </w:r>
    </w:p>
    <w:p>
      <w:pPr>
        <w:pStyle w:val="Normal"/>
        <w:numPr>
          <w:ilvl w:val="0"/>
          <w:numId w:val="1"/>
        </w:numPr>
        <w:spacing w:lineRule="auto" w:line="240" w:beforeAutospacing="1" w:afterAutospacing="1"/>
        <w:rPr>
          <w:rFonts w:eastAsia="Times New Roman" w:cs="Arial"/>
          <w:szCs w:val="28"/>
          <w:lang w:eastAsia="en-GB"/>
        </w:rPr>
      </w:pPr>
      <w:r>
        <w:rPr>
          <w:rFonts w:eastAsia="Times New Roman" w:cs="Arial"/>
          <w:szCs w:val="28"/>
          <w:lang w:eastAsia="en-GB"/>
        </w:rPr>
        <w:t>Half of over 55s surveyed agree you need to act quickly to get a good deal, an attitude exploited by fraudsters who offer time-limited deals</w:t>
      </w:r>
    </w:p>
    <w:p>
      <w:pPr>
        <w:pStyle w:val="Normal"/>
        <w:numPr>
          <w:ilvl w:val="0"/>
          <w:numId w:val="1"/>
        </w:numPr>
        <w:spacing w:lineRule="auto" w:line="240" w:beforeAutospacing="1" w:afterAutospacing="1"/>
        <w:rPr>
          <w:rFonts w:eastAsia="Times New Roman" w:cs="Arial"/>
          <w:szCs w:val="28"/>
          <w:lang w:eastAsia="en-GB"/>
        </w:rPr>
      </w:pPr>
      <w:r>
        <w:rPr>
          <w:rFonts w:eastAsia="Times New Roman" w:cs="Arial"/>
          <w:szCs w:val="28"/>
          <w:lang w:eastAsia="en-GB"/>
        </w:rPr>
        <w:t>A third of over 55s surveyed are reluctant to discuss their investment decisions with others, something that is seized on by fraudsters who encourage them to keep their offer a secret</w:t>
      </w:r>
    </w:p>
    <w:p>
      <w:pPr>
        <w:pStyle w:val="Normal"/>
        <w:spacing w:lineRule="auto" w:line="240" w:beforeAutospacing="1" w:afterAutospacing="1"/>
        <w:rPr>
          <w:rFonts w:eastAsia="Times New Roman" w:cs="Arial"/>
          <w:szCs w:val="28"/>
          <w:lang w:eastAsia="en-GB"/>
        </w:rPr>
      </w:pPr>
      <w:r>
        <w:rPr>
          <w:rFonts w:eastAsia="Times New Roman" w:cs="Arial"/>
          <w:szCs w:val="28"/>
          <w:lang w:eastAsia="en-GB"/>
        </w:rPr>
        <w:t>Last year, victims of investment fraud lost on average £32,000 as fraudsters employed increasingly advanced psychological tactics to persuade victims to invest. One of the most common methods used by fraudsters is to pressurise potential investors to make a quick decision on a time-limited investment offer. This new research found that more than half (53%) of the over 55s surveyed believed acting quickly can be key to getting a good deal, demonstrating how many could be vulnerable to this tactic.</w:t>
      </w:r>
    </w:p>
    <w:p>
      <w:pPr>
        <w:pStyle w:val="Normal"/>
        <w:spacing w:lineRule="auto" w:line="240" w:beforeAutospacing="1" w:afterAutospacing="1"/>
        <w:rPr>
          <w:rFonts w:eastAsia="Times New Roman" w:cs="Arial"/>
          <w:szCs w:val="28"/>
          <w:lang w:eastAsia="en-GB"/>
        </w:rPr>
      </w:pPr>
      <w:r>
        <w:rPr>
          <w:rFonts w:eastAsia="Times New Roman" w:cs="Arial"/>
          <w:szCs w:val="28"/>
          <w:lang w:eastAsia="en-GB"/>
        </w:rPr>
        <w:t>A third (34%) said it is best not to discuss investment decisions with others and fewer than half (48%) said they would be likely to seek impartial advice before making an investment. These attitudes are seized on by fraudsters, who often urge their target to keep the offer a secret, in order to prevent others from dissuading them from investing.</w:t>
      </w:r>
    </w:p>
    <w:p>
      <w:pPr>
        <w:pStyle w:val="Normal"/>
        <w:spacing w:lineRule="auto" w:line="240" w:beforeAutospacing="1" w:afterAutospacing="1"/>
        <w:rPr>
          <w:rFonts w:eastAsia="Times New Roman" w:cs="Arial"/>
          <w:szCs w:val="28"/>
          <w:lang w:eastAsia="en-GB"/>
        </w:rPr>
      </w:pPr>
      <w:r>
        <w:rPr>
          <w:rFonts w:eastAsia="Times New Roman" w:cs="Arial"/>
          <w:szCs w:val="28"/>
          <w:lang w:eastAsia="en-GB"/>
        </w:rPr>
        <w:t>45% of over 55s surveyed agreed that investment opportunities are more attractive if you know of others who have made similar investments. Fraudsters may exploit this by saying that others want in on the deal or have already benefitted.</w:t>
      </w:r>
    </w:p>
    <w:p>
      <w:pPr>
        <w:pStyle w:val="Normal"/>
        <w:spacing w:lineRule="auto" w:line="240" w:beforeAutospacing="1" w:afterAutospacing="1"/>
        <w:rPr>
          <w:rFonts w:eastAsia="Times New Roman" w:cs="Arial"/>
          <w:szCs w:val="28"/>
          <w:lang w:eastAsia="en-GB"/>
        </w:rPr>
      </w:pPr>
      <w:r>
        <w:rPr>
          <w:rFonts w:eastAsia="Times New Roman" w:cs="Arial"/>
          <w:szCs w:val="28"/>
          <w:lang w:eastAsia="en-GB"/>
        </w:rPr>
        <w:t>Interestingly, those surveyed were more aware of certain signs of investment fraud, but less aware of others. For example, 92% agreed being contacted out of the blue could be a warning sign, but 19% were unaware that being promised returns above the market rate could also be a tactic.</w:t>
      </w:r>
    </w:p>
    <w:p>
      <w:pPr>
        <w:pStyle w:val="Normal"/>
        <w:spacing w:lineRule="auto" w:line="240" w:beforeAutospacing="1" w:afterAutospacing="1"/>
        <w:rPr>
          <w:rFonts w:eastAsia="Times New Roman" w:cs="Arial"/>
          <w:szCs w:val="28"/>
          <w:lang w:eastAsia="en-GB"/>
        </w:rPr>
      </w:pPr>
      <w:r>
        <w:rPr>
          <w:rFonts w:eastAsia="Times New Roman" w:cs="Arial"/>
          <w:b/>
          <w:bCs/>
          <w:szCs w:val="28"/>
          <w:lang w:eastAsia="en-GB"/>
        </w:rPr>
        <w:t>The common tactics used by fraudsters include: -</w:t>
      </w:r>
    </w:p>
    <w:p>
      <w:pPr>
        <w:pStyle w:val="Normal"/>
        <w:numPr>
          <w:ilvl w:val="0"/>
          <w:numId w:val="2"/>
        </w:numPr>
        <w:spacing w:lineRule="auto" w:line="240" w:beforeAutospacing="1" w:afterAutospacing="1"/>
        <w:rPr>
          <w:rFonts w:eastAsia="Times New Roman" w:cs="Arial"/>
          <w:szCs w:val="28"/>
          <w:lang w:eastAsia="en-GB"/>
        </w:rPr>
      </w:pPr>
      <w:r>
        <w:rPr>
          <w:rFonts w:eastAsia="Times New Roman" w:cs="Arial"/>
          <w:b/>
          <w:bCs/>
          <w:szCs w:val="28"/>
          <w:lang w:eastAsia="en-GB"/>
        </w:rPr>
        <w:t>Unexpected contact –</w:t>
      </w:r>
      <w:r>
        <w:rPr>
          <w:rFonts w:eastAsia="Times New Roman" w:cs="Arial"/>
          <w:szCs w:val="28"/>
          <w:lang w:eastAsia="en-GB"/>
        </w:rPr>
        <w:t xml:space="preserve"> Traditionally scammers cold-call but contact can also come from online sources e.g. email or social media, post, word of mouth or even in person at a seminar or exhibition.</w:t>
      </w:r>
    </w:p>
    <w:p>
      <w:pPr>
        <w:pStyle w:val="Normal"/>
        <w:numPr>
          <w:ilvl w:val="0"/>
          <w:numId w:val="2"/>
        </w:numPr>
        <w:spacing w:lineRule="auto" w:line="240" w:beforeAutospacing="1" w:afterAutospacing="1"/>
        <w:rPr>
          <w:rFonts w:eastAsia="Times New Roman" w:cs="Arial"/>
          <w:szCs w:val="28"/>
          <w:lang w:eastAsia="en-GB"/>
        </w:rPr>
      </w:pPr>
      <w:r>
        <w:rPr>
          <w:rFonts w:eastAsia="Times New Roman" w:cs="Arial"/>
          <w:b/>
          <w:bCs/>
          <w:szCs w:val="28"/>
          <w:lang w:eastAsia="en-GB"/>
        </w:rPr>
        <w:t>Time pressure –</w:t>
      </w:r>
      <w:r>
        <w:rPr>
          <w:rFonts w:eastAsia="Times New Roman" w:cs="Arial"/>
          <w:szCs w:val="28"/>
          <w:lang w:eastAsia="en-GB"/>
        </w:rPr>
        <w:t xml:space="preserve"> They might offer you a bonus or discount if you invest before a set date or say the opportunity is only available for a short period.</w:t>
      </w:r>
    </w:p>
    <w:p>
      <w:pPr>
        <w:pStyle w:val="Normal"/>
        <w:numPr>
          <w:ilvl w:val="0"/>
          <w:numId w:val="2"/>
        </w:numPr>
        <w:spacing w:lineRule="auto" w:line="240" w:beforeAutospacing="1" w:afterAutospacing="1"/>
        <w:rPr>
          <w:rFonts w:eastAsia="Times New Roman" w:cs="Arial"/>
          <w:szCs w:val="28"/>
          <w:lang w:eastAsia="en-GB"/>
        </w:rPr>
      </w:pPr>
      <w:r>
        <w:rPr>
          <w:rFonts w:eastAsia="Times New Roman" w:cs="Arial"/>
          <w:b/>
          <w:bCs/>
          <w:szCs w:val="28"/>
          <w:lang w:eastAsia="en-GB"/>
        </w:rPr>
        <w:t>Social proof –</w:t>
      </w:r>
      <w:r>
        <w:rPr>
          <w:rFonts w:eastAsia="Times New Roman" w:cs="Arial"/>
          <w:szCs w:val="28"/>
          <w:lang w:eastAsia="en-GB"/>
        </w:rPr>
        <w:t xml:space="preserve"> They may share fake reviews and claim other clients have invested or want in on the deal.</w:t>
      </w:r>
    </w:p>
    <w:p>
      <w:pPr>
        <w:pStyle w:val="Normal"/>
        <w:numPr>
          <w:ilvl w:val="0"/>
          <w:numId w:val="2"/>
        </w:numPr>
        <w:spacing w:lineRule="auto" w:line="240" w:beforeAutospacing="1" w:afterAutospacing="1"/>
        <w:rPr>
          <w:rFonts w:eastAsia="Times New Roman" w:cs="Arial"/>
          <w:szCs w:val="28"/>
          <w:lang w:eastAsia="en-GB"/>
        </w:rPr>
      </w:pPr>
      <w:r>
        <w:rPr>
          <w:rFonts w:eastAsia="Times New Roman" w:cs="Arial"/>
          <w:b/>
          <w:bCs/>
          <w:szCs w:val="28"/>
          <w:lang w:eastAsia="en-GB"/>
        </w:rPr>
        <w:t>Unrealistic returns –</w:t>
      </w:r>
      <w:r>
        <w:rPr>
          <w:rFonts w:eastAsia="Times New Roman" w:cs="Arial"/>
          <w:szCs w:val="28"/>
          <w:lang w:eastAsia="en-GB"/>
        </w:rPr>
        <w:t xml:space="preserve"> Fraudsters often promise tempting returns that sound too good to be true, such as much better interest rates than elsewhere.</w:t>
      </w:r>
    </w:p>
    <w:p>
      <w:pPr>
        <w:pStyle w:val="Normal"/>
        <w:numPr>
          <w:ilvl w:val="0"/>
          <w:numId w:val="2"/>
        </w:numPr>
        <w:spacing w:lineRule="auto" w:line="240" w:beforeAutospacing="1" w:afterAutospacing="1"/>
        <w:rPr>
          <w:rFonts w:eastAsia="Times New Roman" w:cs="Arial"/>
          <w:szCs w:val="28"/>
          <w:lang w:eastAsia="en-GB"/>
        </w:rPr>
      </w:pPr>
      <w:r>
        <w:rPr>
          <w:rFonts w:eastAsia="Times New Roman" w:cs="Arial"/>
          <w:b/>
          <w:bCs/>
          <w:szCs w:val="28"/>
          <w:lang w:eastAsia="en-GB"/>
        </w:rPr>
        <w:t>False authority -</w:t>
      </w:r>
      <w:r>
        <w:rPr>
          <w:rFonts w:eastAsia="Times New Roman" w:cs="Arial"/>
          <w:szCs w:val="28"/>
          <w:lang w:eastAsia="en-GB"/>
        </w:rPr>
        <w:t xml:space="preserve"> Using convincing literature and websites, claiming to be regulated, speaking with authority on investment products.</w:t>
      </w:r>
    </w:p>
    <w:p>
      <w:pPr>
        <w:pStyle w:val="Normal"/>
        <w:numPr>
          <w:ilvl w:val="0"/>
          <w:numId w:val="2"/>
        </w:numPr>
        <w:spacing w:lineRule="auto" w:line="240" w:beforeAutospacing="1" w:afterAutospacing="1"/>
        <w:rPr>
          <w:rFonts w:eastAsia="Times New Roman" w:cs="Arial"/>
          <w:szCs w:val="28"/>
          <w:lang w:eastAsia="en-GB"/>
        </w:rPr>
      </w:pPr>
      <w:r>
        <w:rPr>
          <w:rFonts w:eastAsia="Times New Roman" w:cs="Arial"/>
          <w:b/>
          <w:bCs/>
          <w:szCs w:val="28"/>
          <w:lang w:eastAsia="en-GB"/>
        </w:rPr>
        <w:t>Flattery –</w:t>
      </w:r>
      <w:r>
        <w:rPr>
          <w:rFonts w:eastAsia="Times New Roman" w:cs="Arial"/>
          <w:szCs w:val="28"/>
          <w:lang w:eastAsia="en-GB"/>
        </w:rPr>
        <w:t xml:space="preserve"> Building a friendship with you to lull you into a false sense of security.</w:t>
      </w:r>
    </w:p>
    <w:p>
      <w:pPr>
        <w:pStyle w:val="Normal"/>
        <w:spacing w:lineRule="auto" w:line="240" w:beforeAutospacing="1" w:afterAutospacing="1"/>
        <w:rPr>
          <w:rFonts w:eastAsia="Times New Roman" w:cs="Arial"/>
          <w:szCs w:val="28"/>
          <w:lang w:eastAsia="en-GB"/>
        </w:rPr>
      </w:pPr>
      <w:r>
        <w:rPr>
          <w:rFonts w:eastAsia="Times New Roman" w:cs="Arial"/>
          <w:szCs w:val="28"/>
          <w:lang w:eastAsia="en-GB"/>
        </w:rPr>
        <w:t>The FCA is urging consumers to be sceptical and cautious before they invest their money. If someone invests their money with an unauthorised firm then they will have no protection from the Financial Ombudsman Service or Financial Services Compensation Scheme if things go wrong.</w:t>
      </w:r>
    </w:p>
    <w:p>
      <w:pPr>
        <w:pStyle w:val="Normal"/>
        <w:spacing w:lineRule="auto" w:line="240" w:beforeAutospacing="1" w:afterAutospacing="1"/>
        <w:rPr>
          <w:rFonts w:eastAsia="Times New Roman" w:cs="Arial"/>
          <w:szCs w:val="28"/>
          <w:lang w:eastAsia="en-GB"/>
        </w:rPr>
      </w:pPr>
      <w:r>
        <w:rPr>
          <w:rFonts w:eastAsia="Times New Roman" w:cs="Arial"/>
          <w:b/>
          <w:bCs/>
          <w:szCs w:val="28"/>
          <w:lang w:eastAsia="en-GB"/>
        </w:rPr>
        <w:t>To avoid being a victim of investment fraud, the FCA advises consumers to,</w:t>
      </w:r>
      <w:r>
        <w:rPr>
          <w:rFonts w:eastAsia="Times New Roman" w:cs="Arial"/>
          <w:szCs w:val="28"/>
          <w:lang w:eastAsia="en-GB"/>
        </w:rPr>
        <w:t xml:space="preserve"> </w:t>
      </w:r>
      <w:r>
        <w:rPr>
          <w:rFonts w:eastAsia="Times New Roman" w:cs="Arial"/>
          <w:b/>
          <w:bCs/>
          <w:szCs w:val="28"/>
          <w:lang w:eastAsia="en-GB"/>
        </w:rPr>
        <w:t>at the very least: -</w:t>
      </w:r>
    </w:p>
    <w:p>
      <w:pPr>
        <w:pStyle w:val="Normal"/>
        <w:numPr>
          <w:ilvl w:val="0"/>
          <w:numId w:val="3"/>
        </w:numPr>
        <w:spacing w:lineRule="auto" w:line="240" w:beforeAutospacing="1" w:afterAutospacing="1"/>
        <w:rPr>
          <w:rFonts w:eastAsia="Times New Roman" w:cs="Arial"/>
          <w:szCs w:val="28"/>
          <w:lang w:eastAsia="en-GB"/>
        </w:rPr>
      </w:pPr>
      <w:r>
        <w:rPr>
          <w:rFonts w:eastAsia="Times New Roman" w:cs="Arial"/>
          <w:szCs w:val="28"/>
          <w:lang w:eastAsia="en-GB"/>
        </w:rPr>
        <w:t>Reject unsolicited contact about investments.</w:t>
      </w:r>
    </w:p>
    <w:p>
      <w:pPr>
        <w:pStyle w:val="Normal"/>
        <w:numPr>
          <w:ilvl w:val="0"/>
          <w:numId w:val="3"/>
        </w:numPr>
        <w:spacing w:lineRule="auto" w:line="240" w:beforeAutospacing="1" w:afterAutospacing="1"/>
        <w:rPr/>
      </w:pPr>
      <w:r>
        <w:rPr>
          <w:rFonts w:eastAsia="Times New Roman" w:cs="Arial"/>
          <w:szCs w:val="28"/>
          <w:lang w:eastAsia="en-GB"/>
        </w:rPr>
        <w:t xml:space="preserve">Before investing, check the </w:t>
      </w:r>
      <w:r>
        <w:rPr>
          <w:rFonts w:eastAsia="Times New Roman" w:cs="Arial"/>
          <w:b/>
          <w:szCs w:val="28"/>
          <w:lang w:eastAsia="en-GB"/>
        </w:rPr>
        <w:t>FCA Register</w:t>
      </w:r>
      <w:r>
        <w:rPr>
          <w:rFonts w:eastAsia="Times New Roman" w:cs="Arial"/>
          <w:szCs w:val="28"/>
          <w:lang w:eastAsia="en-GB"/>
        </w:rPr>
        <w:t xml:space="preserve"> to see if the firm or individual you are dealing with is authorised:  https://register.fca.org.uk/   and check the </w:t>
      </w:r>
      <w:hyperlink r:id="rId5">
        <w:r>
          <w:rPr>
            <w:rStyle w:val="InternetLink"/>
            <w:rFonts w:eastAsia="Times New Roman" w:cs="Arial"/>
            <w:b/>
            <w:szCs w:val="28"/>
            <w:lang w:eastAsia="en-GB"/>
          </w:rPr>
          <w:t>FCA Warning List</w:t>
        </w:r>
      </w:hyperlink>
      <w:r>
        <w:rPr>
          <w:rFonts w:eastAsia="Times New Roman" w:cs="Arial"/>
          <w:szCs w:val="28"/>
          <w:lang w:eastAsia="en-GB"/>
        </w:rPr>
        <w:t xml:space="preserve"> of firms to avoid:  https://www.fca.org.uk/scamsmart/warning-list</w:t>
      </w:r>
    </w:p>
    <w:p>
      <w:pPr>
        <w:pStyle w:val="Normal"/>
        <w:numPr>
          <w:ilvl w:val="0"/>
          <w:numId w:val="3"/>
        </w:numPr>
        <w:spacing w:lineRule="auto" w:line="240" w:beforeAutospacing="1" w:afterAutospacing="1"/>
        <w:rPr>
          <w:rFonts w:eastAsia="Times New Roman" w:cs="Arial"/>
          <w:szCs w:val="28"/>
          <w:lang w:eastAsia="en-GB"/>
        </w:rPr>
      </w:pPr>
      <w:r>
        <w:rPr>
          <w:rFonts w:eastAsia="Times New Roman" w:cs="Arial"/>
          <w:szCs w:val="28"/>
          <w:lang w:eastAsia="en-GB"/>
        </w:rPr>
        <w:t>Consider getting impartial advice before investing.</w:t>
      </w:r>
    </w:p>
    <w:p>
      <w:pPr>
        <w:pStyle w:val="Normal"/>
        <w:spacing w:lineRule="auto" w:line="240" w:beforeAutospacing="1" w:afterAutospacing="1"/>
        <w:rPr>
          <w:rFonts w:eastAsia="Times New Roman" w:cs="Arial"/>
          <w:szCs w:val="28"/>
          <w:lang w:eastAsia="en-GB"/>
        </w:rPr>
      </w:pPr>
      <w:r>
        <w:rPr>
          <w:rFonts w:eastAsia="Times New Roman" w:cs="Arial"/>
          <w:b/>
          <w:bCs/>
          <w:szCs w:val="28"/>
          <w:lang w:eastAsia="en-GB"/>
        </w:rPr>
        <w:t>Mark Steward, Director of Enforcement, FCA, comments: -</w:t>
      </w:r>
    </w:p>
    <w:p>
      <w:pPr>
        <w:pStyle w:val="Normal"/>
        <w:spacing w:lineRule="auto" w:line="240" w:beforeAutospacing="1" w:afterAutospacing="1"/>
        <w:rPr>
          <w:rFonts w:eastAsia="Times New Roman" w:cs="Arial"/>
          <w:szCs w:val="28"/>
          <w:lang w:eastAsia="en-GB"/>
        </w:rPr>
      </w:pPr>
      <w:r>
        <w:rPr>
          <w:rFonts w:eastAsia="Times New Roman" w:cs="Arial"/>
          <w:i/>
          <w:iCs/>
          <w:szCs w:val="28"/>
          <w:lang w:eastAsia="en-GB"/>
        </w:rPr>
        <w:t>“</w:t>
      </w:r>
      <w:r>
        <w:rPr>
          <w:rFonts w:eastAsia="Times New Roman" w:cs="Arial"/>
          <w:i/>
          <w:iCs/>
          <w:szCs w:val="28"/>
          <w:lang w:eastAsia="en-GB"/>
        </w:rPr>
        <w:t xml:space="preserve">Be alert to the warning signs like being contacted out of the blue, promises of low risk and/or guaranteed above market returns, special deals just for you, time pressure and, very often, flattery. </w:t>
      </w:r>
    </w:p>
    <w:p>
      <w:pPr>
        <w:pStyle w:val="Normal"/>
        <w:spacing w:lineRule="auto" w:line="240" w:beforeAutospacing="1" w:afterAutospacing="1"/>
        <w:rPr>
          <w:rFonts w:eastAsia="Times New Roman" w:cs="Arial"/>
          <w:szCs w:val="28"/>
          <w:lang w:eastAsia="en-GB"/>
        </w:rPr>
      </w:pPr>
      <w:r>
        <w:rPr>
          <w:rFonts w:eastAsia="Times New Roman" w:cs="Arial"/>
          <w:i/>
          <w:iCs/>
          <w:szCs w:val="28"/>
          <w:lang w:eastAsia="en-GB"/>
        </w:rPr>
        <w:t>Be vigilant. Don’t let them push you into making a decision and parting with your money. Question their claims. Check the FCA Register and seek impartial advice. If in any doubt – don’t invest.”</w:t>
      </w:r>
    </w:p>
    <w:p>
      <w:pPr>
        <w:pStyle w:val="Normal"/>
        <w:spacing w:lineRule="auto" w:line="240" w:beforeAutospacing="1" w:afterAutospacing="1"/>
        <w:rPr>
          <w:rFonts w:eastAsia="Times New Roman" w:cs="Arial"/>
          <w:szCs w:val="28"/>
          <w:lang w:eastAsia="en-GB"/>
        </w:rPr>
      </w:pPr>
      <w:r>
        <w:rPr>
          <w:rFonts w:eastAsia="Times New Roman" w:cs="Arial"/>
          <w:b/>
          <w:bCs/>
          <w:szCs w:val="28"/>
          <w:lang w:eastAsia="en-GB"/>
        </w:rPr>
        <w:t>Nick Hewer, who is supporting the campaign, added: -</w:t>
      </w:r>
    </w:p>
    <w:p>
      <w:pPr>
        <w:pStyle w:val="Normal"/>
        <w:spacing w:lineRule="auto" w:line="240" w:beforeAutospacing="1" w:afterAutospacing="1"/>
        <w:rPr>
          <w:rFonts w:eastAsia="Times New Roman" w:cs="Arial"/>
          <w:szCs w:val="28"/>
          <w:lang w:eastAsia="en-GB"/>
        </w:rPr>
      </w:pPr>
      <w:r>
        <w:rPr>
          <w:rFonts w:eastAsia="Times New Roman" w:cs="Arial"/>
          <w:i/>
          <w:iCs/>
          <w:szCs w:val="28"/>
          <w:lang w:eastAsia="en-GB"/>
        </w:rPr>
        <w:t>“</w:t>
      </w:r>
      <w:r>
        <w:rPr>
          <w:rFonts w:eastAsia="Times New Roman" w:cs="Arial"/>
          <w:i/>
          <w:iCs/>
          <w:szCs w:val="28"/>
          <w:lang w:eastAsia="en-GB"/>
        </w:rPr>
        <w:t>As someone who has been approached by scammers myself, I know how hard it is to identify whether an investment offer is legitimate. They’re very clever these people, playing psychological games to win over the trust of often vulnerable victims and that’s why I’m working with the FCA to raise awareness of this troubling issue.</w:t>
      </w:r>
    </w:p>
    <w:p>
      <w:pPr>
        <w:pStyle w:val="Normal"/>
        <w:spacing w:lineRule="auto" w:line="240" w:beforeAutospacing="1" w:afterAutospacing="1"/>
        <w:rPr>
          <w:rFonts w:eastAsia="Times New Roman" w:cs="Arial"/>
          <w:i/>
          <w:i/>
          <w:iCs/>
          <w:szCs w:val="28"/>
          <w:lang w:eastAsia="en-GB"/>
        </w:rPr>
      </w:pPr>
      <w:r>
        <w:rPr>
          <w:rFonts w:eastAsia="Times New Roman" w:cs="Arial"/>
          <w:i/>
          <w:iCs/>
          <w:szCs w:val="28"/>
          <w:lang w:eastAsia="en-GB"/>
        </w:rPr>
        <w:t>“</w:t>
      </w:r>
      <w:r>
        <w:rPr>
          <w:rFonts w:eastAsia="Times New Roman" w:cs="Arial"/>
          <w:i/>
          <w:iCs/>
          <w:szCs w:val="28"/>
          <w:lang w:eastAsia="en-GB"/>
        </w:rPr>
        <w:t xml:space="preserve">Remember, if it sounds too good to be true then it probably is. If you are offered an attractive investment out of the blue, be suspicious, check the FCA’s Warning List and seek impartial advice. Better still, if you get a cold call, just put the phone down!” </w:t>
      </w:r>
    </w:p>
    <w:p>
      <w:pPr>
        <w:pStyle w:val="Normal"/>
        <w:spacing w:lineRule="auto" w:line="240" w:beforeAutospacing="1" w:afterAutospacing="1"/>
        <w:rPr>
          <w:rFonts w:eastAsia="Times New Roman" w:cs="Arial"/>
          <w:szCs w:val="28"/>
          <w:lang w:eastAsia="en-GB"/>
        </w:rPr>
      </w:pPr>
      <w:r>
        <w:rPr>
          <w:rFonts w:eastAsia="Times New Roman" w:cs="Arial"/>
          <w:szCs w:val="28"/>
          <w:lang w:eastAsia="en-GB"/>
        </w:rPr>
        <w:t>https://www.actionfraud.police.uk/reporting-fraud-and-cyber-crime</w:t>
      </w:r>
    </w:p>
    <w:p>
      <w:pPr>
        <w:pStyle w:val="Normal"/>
        <w:rPr>
          <w:b/>
          <w:b/>
          <w:color w:val="0070C0"/>
          <w:sz w:val="72"/>
          <w:szCs w:val="72"/>
        </w:rPr>
      </w:pPr>
      <w:r>
        <w:drawing>
          <wp:anchor behindDoc="0" distT="0" distB="0" distL="114300" distR="114300" simplePos="0" locked="0" layoutInCell="1" allowOverlap="1" relativeHeight="3">
            <wp:simplePos x="0" y="0"/>
            <wp:positionH relativeFrom="column">
              <wp:posOffset>0</wp:posOffset>
            </wp:positionH>
            <wp:positionV relativeFrom="paragraph">
              <wp:posOffset>1905</wp:posOffset>
            </wp:positionV>
            <wp:extent cx="2076450" cy="1676400"/>
            <wp:effectExtent l="0" t="0" r="0" b="0"/>
            <wp:wrapSquare wrapText="bothSides"/>
            <wp:docPr id="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
                    <pic:cNvPicPr>
                      <a:picLocks noChangeAspect="1" noChangeArrowheads="1"/>
                    </pic:cNvPicPr>
                  </pic:nvPicPr>
                  <pic:blipFill>
                    <a:blip r:embed="rId6"/>
                    <a:stretch>
                      <a:fillRect/>
                    </a:stretch>
                  </pic:blipFill>
                  <pic:spPr bwMode="auto">
                    <a:xfrm>
                      <a:off x="0" y="0"/>
                      <a:ext cx="2076450" cy="1676400"/>
                    </a:xfrm>
                    <a:prstGeom prst="rect">
                      <a:avLst/>
                    </a:prstGeom>
                  </pic:spPr>
                </pic:pic>
              </a:graphicData>
            </a:graphic>
          </wp:anchor>
        </w:drawing>
      </w:r>
      <w:r>
        <w:rPr>
          <w:b/>
          <w:color w:val="0070C0"/>
          <w:sz w:val="72"/>
          <w:szCs w:val="72"/>
        </w:rPr>
        <w:t>C</w:t>
      </w:r>
      <w:r>
        <w:rPr>
          <w:b/>
          <w:color w:val="0070C0"/>
          <w:sz w:val="72"/>
          <w:szCs w:val="72"/>
        </w:rPr>
        <w:t>ARE DAY 15</w:t>
      </w:r>
      <w:r>
        <w:rPr>
          <w:b/>
          <w:color w:val="0070C0"/>
          <w:sz w:val="72"/>
          <w:szCs w:val="72"/>
          <w:vertAlign w:val="superscript"/>
        </w:rPr>
        <w:t>th</w:t>
      </w:r>
      <w:r>
        <w:rPr>
          <w:b/>
          <w:color w:val="0070C0"/>
          <w:sz w:val="72"/>
          <w:szCs w:val="72"/>
        </w:rPr>
        <w:t xml:space="preserve"> February 2019</w:t>
      </w:r>
    </w:p>
    <w:p>
      <w:pPr>
        <w:pStyle w:val="Normal"/>
        <w:spacing w:lineRule="auto" w:line="240" w:beforeAutospacing="1" w:afterAutospacing="1"/>
        <w:rPr>
          <w:rFonts w:eastAsia="Times New Roman" w:cs="Arial"/>
          <w:szCs w:val="28"/>
          <w:lang w:eastAsia="en-GB"/>
        </w:rPr>
      </w:pPr>
      <w:r>
        <w:rPr>
          <w:rFonts w:eastAsia="Times New Roman" w:cs="Arial"/>
          <w:szCs w:val="28"/>
          <w:lang w:eastAsia="en-GB"/>
        </w:rPr>
        <w:t>Care Day, the world’s biggest celebration of children and young people with care experience, is happening on the 15th February 2019.   Care Day 2019 is an opportunity to celebrate the rights of care experienced children and young people and is a joint initiative between five children’s rights charities across the U.K. and Ireland, under the 5 Nations 1 Voice alliance. Become in England, EPIC in Ireland, VOYPIC in Northern Ireland, Voices from Care in Wales and Who Cares? Scotland. The alliance wants a world where the childhoods of these children and young people allow them to thrive and achieve their dreams so that they go onto have a future that is fulfilled, and they are proud of.  Those who care for and support these children and young people are also asked to celebrate. It is also an opportunity to illustrate how care experienced people can feel different to others and why. So, this Care Day, everyone has the chance to get vocal, get social, or to get together in celebration of the care experienced community.   Most of us are caring people whose care extends across our communities, embracing the needs of others, so I felt it was quite appropriate to bring this special awareness event to your attention.   Our young people are the future of our country, and as such, need the support, encouragement and understanding of everyone who cares.   Unfortunately, there are many children and young people who have not had the best start in life, and society has a duty to support them as they undertake the challenges that life puts before them.</w:t>
      </w:r>
    </w:p>
    <w:p>
      <w:pPr>
        <w:pStyle w:val="Normal"/>
        <w:rPr>
          <w:rFonts w:eastAsia="Times New Roman" w:cs="Arial"/>
          <w:b/>
          <w:b/>
          <w:sz w:val="40"/>
          <w:szCs w:val="40"/>
          <w:lang w:eastAsia="en-GB"/>
        </w:rPr>
      </w:pPr>
      <w:r>
        <w:drawing>
          <wp:anchor behindDoc="0" distT="0" distB="0" distL="114300" distR="119380" simplePos="0" locked="0" layoutInCell="1" allowOverlap="1" relativeHeight="4">
            <wp:simplePos x="0" y="0"/>
            <wp:positionH relativeFrom="column">
              <wp:posOffset>0</wp:posOffset>
            </wp:positionH>
            <wp:positionV relativeFrom="paragraph">
              <wp:posOffset>4445</wp:posOffset>
            </wp:positionV>
            <wp:extent cx="1710055" cy="2277110"/>
            <wp:effectExtent l="0" t="0" r="0" b="0"/>
            <wp:wrapSquare wrapText="bothSides"/>
            <wp:docPr id="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
                    <pic:cNvPicPr>
                      <a:picLocks noChangeAspect="1" noChangeArrowheads="1"/>
                    </pic:cNvPicPr>
                  </pic:nvPicPr>
                  <pic:blipFill>
                    <a:blip r:embed="rId7"/>
                    <a:stretch>
                      <a:fillRect/>
                    </a:stretch>
                  </pic:blipFill>
                  <pic:spPr bwMode="auto">
                    <a:xfrm>
                      <a:off x="0" y="0"/>
                      <a:ext cx="1710055" cy="2277110"/>
                    </a:xfrm>
                    <a:prstGeom prst="rect">
                      <a:avLst/>
                    </a:prstGeom>
                  </pic:spPr>
                </pic:pic>
              </a:graphicData>
            </a:graphic>
          </wp:anchor>
        </w:drawing>
      </w:r>
      <w:r>
        <w:rPr>
          <w:rFonts w:eastAsia="Times New Roman" w:cs="Arial"/>
          <w:b/>
          <w:sz w:val="40"/>
          <w:szCs w:val="40"/>
          <w:lang w:eastAsia="en-GB"/>
        </w:rPr>
        <w:t>B</w:t>
      </w:r>
      <w:r>
        <w:rPr>
          <w:rFonts w:eastAsia="Times New Roman" w:cs="Arial"/>
          <w:b/>
          <w:sz w:val="40"/>
          <w:szCs w:val="40"/>
          <w:lang w:eastAsia="en-GB"/>
        </w:rPr>
        <w:t>ack to Nature</w:t>
      </w:r>
    </w:p>
    <w:p>
      <w:pPr>
        <w:pStyle w:val="Normal"/>
        <w:rPr>
          <w:rFonts w:eastAsia="Times New Roman" w:cs="Arial"/>
          <w:sz w:val="36"/>
          <w:szCs w:val="36"/>
          <w:lang w:eastAsia="en-GB"/>
        </w:rPr>
      </w:pPr>
      <w:r>
        <w:rPr>
          <w:rFonts w:eastAsia="Times New Roman" w:cs="Arial"/>
          <w:sz w:val="36"/>
          <w:szCs w:val="36"/>
          <w:lang w:eastAsia="en-GB"/>
        </w:rPr>
        <w:t>A Heron, watching me, watching him!</w:t>
      </w:r>
    </w:p>
    <w:p>
      <w:pPr>
        <w:pStyle w:val="Normal"/>
        <w:rPr>
          <w:rFonts w:eastAsia="Times New Roman" w:cs="Arial"/>
          <w:szCs w:val="28"/>
          <w:lang w:eastAsia="en-GB"/>
        </w:rPr>
      </w:pPr>
      <w:r>
        <w:rPr>
          <w:rFonts w:eastAsia="Times New Roman" w:cs="Arial"/>
          <w:szCs w:val="28"/>
          <w:lang w:eastAsia="en-GB"/>
        </w:rPr>
        <w:t>I thoroughly enjoyed the three Winter Watch programmes shown on the BBC recently, and, if the weather calms down a little, I look forward to many countryside and urban walks over the next few weeks, as I look for more signs of the approach of Spring!</w:t>
      </w:r>
    </w:p>
    <w:p>
      <w:pPr>
        <w:pStyle w:val="Normal"/>
        <w:rPr>
          <w:rFonts w:eastAsia="Times New Roman" w:cs="Arial"/>
          <w:szCs w:val="28"/>
          <w:lang w:eastAsia="en-GB"/>
        </w:rPr>
      </w:pPr>
      <w:r>
        <w:rPr>
          <w:rFonts w:eastAsia="Times New Roman" w:cs="Arial"/>
          <w:szCs w:val="28"/>
          <w:lang w:eastAsia="en-GB"/>
        </w:rPr>
      </w:r>
    </w:p>
    <w:p>
      <w:pPr>
        <w:pStyle w:val="Normal"/>
        <w:rPr/>
      </w:pPr>
      <w:r>
        <w:rPr/>
      </w:r>
    </w:p>
    <w:p>
      <w:pPr>
        <w:pStyle w:val="Normal"/>
        <w:rPr/>
      </w:pPr>
      <w:r>
        <w:drawing>
          <wp:anchor behindDoc="0" distT="0" distB="5715" distL="114300" distR="120650" simplePos="0" locked="0" layoutInCell="1" allowOverlap="1" relativeHeight="5">
            <wp:simplePos x="0" y="0"/>
            <wp:positionH relativeFrom="column">
              <wp:posOffset>0</wp:posOffset>
            </wp:positionH>
            <wp:positionV relativeFrom="paragraph">
              <wp:posOffset>-2540</wp:posOffset>
            </wp:positionV>
            <wp:extent cx="1078865" cy="814070"/>
            <wp:effectExtent l="0" t="0" r="0" b="0"/>
            <wp:wrapSquare wrapText="bothSides"/>
            <wp:docPr id="5"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
                    <pic:cNvPicPr>
                      <a:picLocks noChangeAspect="1" noChangeArrowheads="1"/>
                    </pic:cNvPicPr>
                  </pic:nvPicPr>
                  <pic:blipFill>
                    <a:blip r:embed="rId8"/>
                    <a:stretch>
                      <a:fillRect/>
                    </a:stretch>
                  </pic:blipFill>
                  <pic:spPr bwMode="auto">
                    <a:xfrm>
                      <a:off x="0" y="0"/>
                      <a:ext cx="1078865" cy="814070"/>
                    </a:xfrm>
                    <a:prstGeom prst="rect">
                      <a:avLst/>
                    </a:prstGeom>
                  </pic:spPr>
                </pic:pic>
              </a:graphicData>
            </a:graphic>
          </wp:anchor>
        </w:drawing>
      </w:r>
      <w:r>
        <w:rPr/>
        <w:t>D</w:t>
      </w:r>
      <w:r>
        <w:rPr/>
        <w:t xml:space="preserve">ATA PROTECTION My blog is sent to members and supporters of Epping Forest, Brentwood and Harlow NhW groups. and partnership organisations.  When you join neighbourhood Watch, you agree that your contact details are shared between Neighbourhood Watch and Essex Police under existing partnership agreements, and that they are not shared with other organisations or individuals.   To unsubscribe from my blog, or from Neighbourhood Watch, please send an email to: -   </w:t>
      </w:r>
    </w:p>
    <w:p>
      <w:pPr>
        <w:pStyle w:val="Normal"/>
        <w:rPr/>
      </w:pPr>
      <w:r>
        <w:rPr/>
        <w:t xml:space="preserve">colin@neighbourhoodmatters.org.uk quoting the area in which you reside, so that, I know from which to list remove your contact details. Thank you.  Colin I. Freeman MITOL Trustee and Executive committee member of Essex County NhW Association, member of Epping Forest, Brentwood and Harlow </w:t>
      </w:r>
    </w:p>
    <w:p>
      <w:pPr>
        <w:pStyle w:val="Normal"/>
        <w:rPr/>
      </w:pPr>
      <w:r>
        <w:rPr/>
        <w:t xml:space="preserve">NhW committees and Advisor to London Community Watch. colin@neighbourhoodmatters.org.uk  </w:t>
      </w:r>
    </w:p>
    <w:p>
      <w:pPr>
        <w:pStyle w:val="Normal"/>
        <w:rPr/>
      </w:pPr>
      <w:r>
        <w:rPr/>
        <w:drawing>
          <wp:inline distT="0" distB="3175" distL="0" distR="0">
            <wp:extent cx="1718945" cy="1216025"/>
            <wp:effectExtent l="0" t="0" r="0" b="0"/>
            <wp:docPr id="6"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
                    <pic:cNvPicPr>
                      <a:picLocks noChangeAspect="1" noChangeArrowheads="1"/>
                    </pic:cNvPicPr>
                  </pic:nvPicPr>
                  <pic:blipFill>
                    <a:blip r:embed="rId9"/>
                    <a:stretch>
                      <a:fillRect/>
                    </a:stretch>
                  </pic:blipFill>
                  <pic:spPr bwMode="auto">
                    <a:xfrm>
                      <a:off x="0" y="0"/>
                      <a:ext cx="1718945" cy="1216025"/>
                    </a:xfrm>
                    <a:prstGeom prst="rect">
                      <a:avLst/>
                    </a:prstGeom>
                  </pic:spPr>
                </pic:pic>
              </a:graphicData>
            </a:graphic>
          </wp:inline>
        </w:drawing>
      </w:r>
      <w:r>
        <w:rPr/>
        <w:drawing>
          <wp:inline distT="0" distB="0" distL="0" distR="0">
            <wp:extent cx="1490345" cy="1490345"/>
            <wp:effectExtent l="0" t="0" r="0" b="0"/>
            <wp:docPr id="7"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
                    <pic:cNvPicPr>
                      <a:picLocks noChangeAspect="1" noChangeArrowheads="1"/>
                    </pic:cNvPicPr>
                  </pic:nvPicPr>
                  <pic:blipFill>
                    <a:blip r:embed="rId10"/>
                    <a:stretch>
                      <a:fillRect/>
                    </a:stretch>
                  </pic:blipFill>
                  <pic:spPr bwMode="auto">
                    <a:xfrm>
                      <a:off x="0" y="0"/>
                      <a:ext cx="1490345" cy="1490345"/>
                    </a:xfrm>
                    <a:prstGeom prst="rect">
                      <a:avLst/>
                    </a:prstGeom>
                  </pic:spPr>
                </pic:pic>
              </a:graphicData>
            </a:graphic>
          </wp:inline>
        </w:drawing>
      </w:r>
      <w:r>
        <w:drawing>
          <wp:anchor behindDoc="0" distT="0" distB="0" distL="114300" distR="114300" simplePos="0" locked="0" layoutInCell="1" allowOverlap="1" relativeHeight="6">
            <wp:simplePos x="0" y="0"/>
            <wp:positionH relativeFrom="column">
              <wp:posOffset>0</wp:posOffset>
            </wp:positionH>
            <wp:positionV relativeFrom="paragraph">
              <wp:posOffset>-1270</wp:posOffset>
            </wp:positionV>
            <wp:extent cx="2476500" cy="1714500"/>
            <wp:effectExtent l="0" t="0" r="0" b="0"/>
            <wp:wrapSquare wrapText="bothSides"/>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pic:cNvPicPr>
                      <a:picLocks noChangeAspect="1" noChangeArrowheads="1"/>
                    </pic:cNvPicPr>
                  </pic:nvPicPr>
                  <pic:blipFill>
                    <a:blip r:embed="rId11"/>
                    <a:stretch>
                      <a:fillRect/>
                    </a:stretch>
                  </pic:blipFill>
                  <pic:spPr bwMode="auto">
                    <a:xfrm>
                      <a:off x="0" y="0"/>
                      <a:ext cx="2476500" cy="1714500"/>
                    </a:xfrm>
                    <a:prstGeom prst="rect">
                      <a:avLst/>
                    </a:prstGeom>
                  </pic:spPr>
                </pic:pic>
              </a:graphicData>
            </a:graphic>
          </wp:anchor>
        </w:drawing>
      </w:r>
      <w:r>
        <w:rPr/>
        <w:t xml:space="preserve"> </w:t>
      </w:r>
      <w:r>
        <w:rPr/>
        <w:t xml:space="preserve"> </w:t>
      </w:r>
    </w:p>
    <w:p>
      <w:pPr>
        <w:pStyle w:val="Normal"/>
        <w:rPr>
          <w:rFonts w:cs="Arial"/>
          <w:szCs w:val="28"/>
        </w:rPr>
      </w:pPr>
      <w:r>
        <w:rPr>
          <w:rFonts w:cs="Arial"/>
          <w:szCs w:val="28"/>
        </w:rPr>
      </w:r>
    </w:p>
    <w:p>
      <w:pPr>
        <w:pStyle w:val="Normal"/>
        <w:spacing w:before="0" w:after="160"/>
        <w:rPr/>
      </w:pPr>
      <w:r>
        <w:rPr/>
      </w:r>
    </w:p>
    <w:sectPr>
      <w:type w:val="nextPage"/>
      <w:pgSz w:w="11906" w:h="16838"/>
      <w:pgMar w:left="720" w:right="720" w:header="0" w:top="720" w:footer="0" w:bottom="720" w:gutter="0"/>
      <w:pgNumType w:fmt="decimal"/>
      <w:formProt w:val="false"/>
      <w:textDirection w:val="lrTb"/>
      <w:docGrid w:type="default" w:linePitch="381" w:charSpace="4294952959"/>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Calibri" w:cs="" w:cstheme="minorBidi" w:eastAsiaTheme="minorHAnsi"/>
        <w:sz w:val="28"/>
        <w:szCs w:val="22"/>
        <w:lang w:val="en-GB"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Arial" w:hAnsi="Arial" w:eastAsia="Calibri" w:cs="" w:cstheme="minorBidi" w:eastAsiaTheme="minorHAnsi"/>
      <w:color w:val="auto"/>
      <w:sz w:val="28"/>
      <w:szCs w:val="22"/>
      <w:lang w:val="en-GB" w:eastAsia="en-US" w:bidi="ar-SA"/>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rsid w:val="00b62997"/>
    <w:rPr>
      <w:color w:val="0563C1" w:themeColor="hyperlink"/>
      <w:u w:val="single"/>
    </w:rPr>
  </w:style>
  <w:style w:type="character" w:styleId="UnresolvedMention">
    <w:name w:val="Unresolved Mention"/>
    <w:basedOn w:val="DefaultParagraphFont"/>
    <w:uiPriority w:val="99"/>
    <w:semiHidden/>
    <w:unhideWhenUsed/>
    <w:qFormat/>
    <w:rsid w:val="00b62997"/>
    <w:rPr>
      <w:color w:val="605E5C"/>
      <w:shd w:fill="E1DFDD" w:val="clear"/>
    </w:rPr>
  </w:style>
  <w:style w:type="character" w:styleId="ListLabel1">
    <w:name w:val="ListLabel 1"/>
    <w:qFormat/>
    <w:rPr>
      <w:sz w:val="20"/>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paragraph" w:styleId="Heading">
    <w:name w:val="Heading"/>
    <w:basedOn w:val="Normal"/>
    <w:next w:val="TextBody"/>
    <w:qFormat/>
    <w:pPr>
      <w:keepNext/>
      <w:spacing w:before="240" w:after="120"/>
    </w:pPr>
    <w:rPr>
      <w:rFonts w:ascii="Liberation Sans" w:hAnsi="Liberation Sans" w:eastAsia="WenQuanYi Micro Hei" w:cs="Lohit Devanagar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scamsmart.fca.org.uk/warninglist/" TargetMode="Externa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LibreOffice/5.1.6.2$Linux_X86_64 LibreOffice_project/10m0$Build-2</Application>
  <Pages>5</Pages>
  <Words>1566</Words>
  <CharactersWithSpaces>8930</CharactersWithSpaces>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2019-02-08T19:42:00Z</dcterms:created>
  <dc:creator>Colin Freeman</dc:creator>
  <dc:description/>
  <dc:language>en-GB</dc:language>
  <cp:lastModifiedBy>Colin Freeman</cp:lastModifiedBy>
  <dcterms:modified xsi:type="dcterms:W3CDTF">2019-02-08T19:42:00Z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